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AD9" w:rsidRPr="0057372B" w:rsidRDefault="00556932" w:rsidP="004D1AD9">
      <w:pPr>
        <w:pStyle w:val="Title"/>
        <w:rPr>
          <w:rStyle w:val="SubtleEmphasis"/>
          <w:rFonts w:eastAsiaTheme="minorHAnsi" w:cstheme="minorBidi"/>
          <w:i/>
          <w:iCs/>
          <w:sz w:val="32"/>
          <w:szCs w:val="32"/>
        </w:rPr>
      </w:pPr>
      <w:r>
        <w:rPr>
          <w:i w:val="0"/>
          <w:color w:val="365F91" w:themeColor="accent1" w:themeShade="BF"/>
          <w:sz w:val="32"/>
          <w:szCs w:val="32"/>
        </w:rPr>
        <w:t>Chinese Philosophy</w:t>
      </w:r>
    </w:p>
    <w:p w:rsidR="00411F32" w:rsidRDefault="00411F32" w:rsidP="00411F32">
      <w:pPr>
        <w:pStyle w:val="Heading2"/>
        <w:rPr>
          <w:rStyle w:val="SubtleEmphasis"/>
          <w:i w:val="0"/>
          <w:iCs w:val="0"/>
        </w:rPr>
      </w:pPr>
      <w:r>
        <w:rPr>
          <w:rStyle w:val="SubtleEmphasis"/>
          <w:color w:val="365F91" w:themeColor="accent1" w:themeShade="BF"/>
        </w:rPr>
        <w:t>Goals &amp; Objectives</w:t>
      </w:r>
    </w:p>
    <w:p w:rsidR="00411F32" w:rsidRDefault="00411F32" w:rsidP="00411F32">
      <w:pPr>
        <w:rPr>
          <w:rFonts w:ascii="Cambria" w:hAnsi="Cambria"/>
        </w:rPr>
      </w:pPr>
      <w:r>
        <w:rPr>
          <w:rFonts w:ascii="Cambria" w:hAnsi="Cambria"/>
        </w:rPr>
        <w:t>Students will learn about the life and teachings of Confucius, Buddha and Lao-</w:t>
      </w:r>
      <w:proofErr w:type="spellStart"/>
      <w:r>
        <w:rPr>
          <w:rFonts w:ascii="Cambria" w:hAnsi="Cambria"/>
        </w:rPr>
        <w:t>tze</w:t>
      </w:r>
      <w:proofErr w:type="spellEnd"/>
      <w:r>
        <w:rPr>
          <w:rFonts w:ascii="Cambria" w:hAnsi="Cambria"/>
        </w:rPr>
        <w:t>. Students will identify the belief systems of these philosophers</w:t>
      </w:r>
      <w:bookmarkStart w:id="0" w:name="_GoBack"/>
      <w:bookmarkEnd w:id="0"/>
      <w:r>
        <w:rPr>
          <w:rFonts w:ascii="Cambria" w:hAnsi="Cambria"/>
        </w:rPr>
        <w:t xml:space="preserve"> and interpret the meaning and significance of quotes made by each.</w:t>
      </w:r>
    </w:p>
    <w:p w:rsidR="00B93DBF" w:rsidRDefault="00B93DBF" w:rsidP="00411F32">
      <w:pPr>
        <w:rPr>
          <w:rFonts w:ascii="Cambria" w:hAnsi="Cambria"/>
        </w:rPr>
      </w:pPr>
    </w:p>
    <w:p w:rsidR="00411F32" w:rsidRDefault="00411F32" w:rsidP="00411F32">
      <w:pPr>
        <w:pStyle w:val="Heading2"/>
        <w:rPr>
          <w:rStyle w:val="SubtleEmphasis"/>
          <w:rFonts w:eastAsiaTheme="minorHAnsi" w:cstheme="minorBidi"/>
        </w:rPr>
      </w:pPr>
      <w:r>
        <w:rPr>
          <w:rStyle w:val="SubtleEmphasis"/>
          <w:color w:val="365F91" w:themeColor="accent1" w:themeShade="BF"/>
        </w:rPr>
        <w:t xml:space="preserve">California Content </w:t>
      </w:r>
      <w:r w:rsidR="00DD0861">
        <w:rPr>
          <w:rStyle w:val="SubtleEmphasis"/>
          <w:color w:val="365F91" w:themeColor="accent1" w:themeShade="BF"/>
        </w:rPr>
        <w:t xml:space="preserve">and Common Core Literacy </w:t>
      </w:r>
      <w:r>
        <w:rPr>
          <w:rStyle w:val="SubtleEmphasis"/>
          <w:color w:val="365F91" w:themeColor="accent1" w:themeShade="BF"/>
        </w:rPr>
        <w:t>Standards</w:t>
      </w:r>
      <w:r w:rsidR="00DD0861">
        <w:rPr>
          <w:rStyle w:val="SubtleEmphasis"/>
          <w:color w:val="365F91" w:themeColor="accent1" w:themeShade="BF"/>
        </w:rPr>
        <w:t xml:space="preserve"> for History/Social Science</w:t>
      </w:r>
    </w:p>
    <w:p w:rsidR="00411F32" w:rsidRDefault="00411F32" w:rsidP="00411F32">
      <w:pPr>
        <w:spacing w:after="240"/>
        <w:rPr>
          <w:rFonts w:ascii="Cambria" w:eastAsia="Times New Roman" w:hAnsi="Cambria" w:cs="Times New Roman"/>
        </w:rPr>
      </w:pPr>
      <w:r>
        <w:rPr>
          <w:rFonts w:ascii="Cambria" w:eastAsia="Times New Roman" w:hAnsi="Cambria" w:cs="Times New Roman"/>
        </w:rPr>
        <w:t>7.3</w:t>
      </w:r>
      <w:r>
        <w:rPr>
          <w:rFonts w:ascii="Cambria" w:eastAsia="Times New Roman" w:hAnsi="Cambria" w:cs="Times New Roman"/>
          <w:i/>
          <w:iCs/>
        </w:rPr>
        <w:t xml:space="preserve"> Students analyze the geographic, political, economic, religious, and social structures of the civilizations of China in the </w:t>
      </w:r>
      <w:proofErr w:type="gramStart"/>
      <w:r>
        <w:rPr>
          <w:rFonts w:ascii="Cambria" w:eastAsia="Times New Roman" w:hAnsi="Cambria" w:cs="Times New Roman"/>
          <w:i/>
          <w:iCs/>
        </w:rPr>
        <w:t>Middle</w:t>
      </w:r>
      <w:proofErr w:type="gramEnd"/>
      <w:r>
        <w:rPr>
          <w:rFonts w:ascii="Cambria" w:eastAsia="Times New Roman" w:hAnsi="Cambria" w:cs="Times New Roman"/>
          <w:i/>
          <w:iCs/>
        </w:rPr>
        <w:t xml:space="preserve"> Ages. </w:t>
      </w:r>
    </w:p>
    <w:p w:rsidR="00411F32" w:rsidRDefault="00411F32" w:rsidP="00411F32">
      <w:pPr>
        <w:ind w:left="720"/>
        <w:rPr>
          <w:rFonts w:ascii="Cambria" w:eastAsia="Times New Roman" w:hAnsi="Cambria" w:cs="Times New Roman"/>
        </w:rPr>
      </w:pPr>
      <w:r>
        <w:rPr>
          <w:rFonts w:ascii="Cambria" w:eastAsia="Times New Roman" w:hAnsi="Cambria" w:cs="Times New Roman"/>
        </w:rPr>
        <w:t xml:space="preserve">7.3.3 Analyze the influences of Confucianism and changes in Confucian thought during the Sung and Mongol periods. </w:t>
      </w:r>
    </w:p>
    <w:p w:rsidR="00B93DBF" w:rsidRDefault="00B93DBF" w:rsidP="00411F32">
      <w:pPr>
        <w:ind w:left="720"/>
        <w:rPr>
          <w:rFonts w:ascii="Cambria" w:eastAsia="Times New Roman" w:hAnsi="Cambria" w:cs="Times New Roman"/>
        </w:rPr>
      </w:pPr>
    </w:p>
    <w:p w:rsidR="00411F32" w:rsidRDefault="00CC6AA9" w:rsidP="00411F32">
      <w:pPr>
        <w:pStyle w:val="Heading3"/>
        <w:rPr>
          <w:color w:val="76923C" w:themeColor="accent3" w:themeShade="BF"/>
        </w:rPr>
      </w:pPr>
      <w:r>
        <w:rPr>
          <w:color w:val="76923C" w:themeColor="accent3" w:themeShade="BF"/>
        </w:rPr>
        <w:t>Lesson Introduction</w:t>
      </w:r>
    </w:p>
    <w:p w:rsidR="00B93DBF" w:rsidRPr="00CC6AA9" w:rsidRDefault="00CC6AA9" w:rsidP="00CD13DE">
      <w:pPr>
        <w:rPr>
          <w:rFonts w:ascii="Cambria" w:hAnsi="Cambria" w:cs="Times New Roman"/>
          <w:i/>
          <w:iCs/>
          <w:color w:val="5A5A5A"/>
        </w:rPr>
      </w:pPr>
      <w:r>
        <w:rPr>
          <w:rFonts w:ascii="Cambria" w:hAnsi="Cambria"/>
        </w:rPr>
        <w:t xml:space="preserve">The teacher will </w:t>
      </w:r>
      <w:r w:rsidR="00CD13DE">
        <w:rPr>
          <w:rFonts w:ascii="Cambria" w:hAnsi="Cambria"/>
        </w:rPr>
        <w:t xml:space="preserve">ask the class to list some tenets of modern philosophies, such as that of Christianity. Students will have mini whiteboards and will write down their statements. The teacher will call on students, or groups of students to share their tenets (i.e., Love thy neighbor). The teacher will write the tenets on the board and then engage the class in a group discussion as to what these tents mean and how they might lead to a better society. </w:t>
      </w:r>
    </w:p>
    <w:p w:rsidR="00411F32" w:rsidRDefault="00411F32" w:rsidP="00411F32">
      <w:pPr>
        <w:pStyle w:val="Heading3"/>
        <w:rPr>
          <w:rStyle w:val="SubtleEmphasis"/>
          <w:iCs w:val="0"/>
          <w:color w:val="76923C" w:themeColor="accent3" w:themeShade="BF"/>
        </w:rPr>
      </w:pPr>
      <w:r>
        <w:rPr>
          <w:color w:val="76923C" w:themeColor="accent3" w:themeShade="BF"/>
        </w:rPr>
        <w:t xml:space="preserve">Vocabulary </w:t>
      </w:r>
    </w:p>
    <w:p w:rsidR="00CC6AA9" w:rsidRDefault="00CC6AA9" w:rsidP="00CC6AA9">
      <w:pPr>
        <w:rPr>
          <w:rFonts w:ascii="Cambria" w:hAnsi="Cambria"/>
        </w:rPr>
      </w:pPr>
      <w:r>
        <w:rPr>
          <w:rFonts w:ascii="Cambria" w:hAnsi="Cambria"/>
        </w:rPr>
        <w:t>Students will create a picture dictionary using the key terms for the lesson. The picture dictionary will include the term, the definition and an image or graphic that depicts the meaning of the term. Key terms include:</w:t>
      </w:r>
    </w:p>
    <w:p w:rsidR="00CC6AA9" w:rsidRDefault="00CC6AA9" w:rsidP="00CC6AA9">
      <w:pPr>
        <w:pStyle w:val="ListParagraph"/>
        <w:numPr>
          <w:ilvl w:val="0"/>
          <w:numId w:val="1"/>
        </w:numPr>
        <w:rPr>
          <w:rFonts w:ascii="Cambria" w:hAnsi="Cambria" w:cs="Times New Roman"/>
          <w:i/>
          <w:iCs/>
          <w:color w:val="5A5A5A"/>
        </w:rPr>
      </w:pPr>
      <w:r>
        <w:rPr>
          <w:rFonts w:ascii="Cambria" w:hAnsi="Cambria" w:cs="Times New Roman"/>
          <w:i/>
          <w:iCs/>
          <w:color w:val="5A5A5A"/>
        </w:rPr>
        <w:t>Philosophy</w:t>
      </w:r>
    </w:p>
    <w:p w:rsidR="00CC6AA9" w:rsidRDefault="00CC6AA9" w:rsidP="00CC6AA9">
      <w:pPr>
        <w:pStyle w:val="ListParagraph"/>
        <w:numPr>
          <w:ilvl w:val="0"/>
          <w:numId w:val="1"/>
        </w:numPr>
        <w:rPr>
          <w:rFonts w:ascii="Cambria" w:hAnsi="Cambria" w:cs="Times New Roman"/>
          <w:i/>
          <w:iCs/>
          <w:color w:val="5A5A5A"/>
        </w:rPr>
      </w:pPr>
      <w:r>
        <w:rPr>
          <w:rFonts w:ascii="Cambria" w:hAnsi="Cambria" w:cs="Times New Roman"/>
          <w:i/>
          <w:iCs/>
          <w:color w:val="5A5A5A"/>
        </w:rPr>
        <w:t>Sacred text</w:t>
      </w:r>
    </w:p>
    <w:p w:rsidR="00CC6AA9" w:rsidRDefault="00CC6AA9" w:rsidP="00CC6AA9">
      <w:pPr>
        <w:pStyle w:val="ListParagraph"/>
        <w:numPr>
          <w:ilvl w:val="0"/>
          <w:numId w:val="1"/>
        </w:numPr>
        <w:rPr>
          <w:rFonts w:ascii="Cambria" w:hAnsi="Cambria" w:cs="Times New Roman"/>
          <w:i/>
          <w:iCs/>
          <w:color w:val="5A5A5A"/>
        </w:rPr>
      </w:pPr>
      <w:r>
        <w:rPr>
          <w:rFonts w:ascii="Cambria" w:hAnsi="Cambria" w:cs="Times New Roman"/>
          <w:i/>
          <w:iCs/>
          <w:color w:val="5A5A5A"/>
        </w:rPr>
        <w:t>Reincarnation</w:t>
      </w:r>
    </w:p>
    <w:p w:rsidR="00CC6AA9" w:rsidRDefault="00CC6AA9" w:rsidP="00CC6AA9">
      <w:pPr>
        <w:pStyle w:val="ListParagraph"/>
        <w:numPr>
          <w:ilvl w:val="0"/>
          <w:numId w:val="1"/>
        </w:numPr>
        <w:rPr>
          <w:rFonts w:ascii="Cambria" w:hAnsi="Cambria" w:cs="Times New Roman"/>
          <w:i/>
          <w:iCs/>
          <w:color w:val="5A5A5A"/>
        </w:rPr>
      </w:pPr>
      <w:r>
        <w:rPr>
          <w:rFonts w:ascii="Cambria" w:hAnsi="Cambria" w:cs="Times New Roman"/>
          <w:i/>
          <w:iCs/>
          <w:color w:val="5A5A5A"/>
        </w:rPr>
        <w:t>Proper Conduct</w:t>
      </w:r>
    </w:p>
    <w:p w:rsidR="00CC6AA9" w:rsidRDefault="00CC6AA9" w:rsidP="00CC6AA9">
      <w:pPr>
        <w:pStyle w:val="ListParagraph"/>
        <w:numPr>
          <w:ilvl w:val="0"/>
          <w:numId w:val="1"/>
        </w:numPr>
        <w:rPr>
          <w:rFonts w:ascii="Cambria" w:hAnsi="Cambria" w:cs="Times New Roman"/>
          <w:i/>
          <w:iCs/>
          <w:color w:val="5A5A5A"/>
        </w:rPr>
      </w:pPr>
      <w:r>
        <w:rPr>
          <w:rFonts w:ascii="Cambria" w:hAnsi="Cambria" w:cs="Times New Roman"/>
          <w:i/>
          <w:iCs/>
          <w:color w:val="5A5A5A"/>
        </w:rPr>
        <w:t>Sage</w:t>
      </w:r>
    </w:p>
    <w:p w:rsidR="00CC6AA9" w:rsidRPr="005C44CF" w:rsidRDefault="00CC6AA9" w:rsidP="00CC6AA9">
      <w:pPr>
        <w:pStyle w:val="ListParagraph"/>
        <w:numPr>
          <w:ilvl w:val="0"/>
          <w:numId w:val="1"/>
        </w:numPr>
        <w:rPr>
          <w:rFonts w:ascii="Cambria" w:hAnsi="Cambria" w:cs="Times New Roman"/>
          <w:i/>
          <w:iCs/>
          <w:color w:val="5A5A5A"/>
        </w:rPr>
      </w:pPr>
      <w:r>
        <w:rPr>
          <w:rFonts w:ascii="Cambria" w:hAnsi="Cambria" w:cs="Times New Roman"/>
          <w:i/>
          <w:iCs/>
          <w:color w:val="5A5A5A"/>
        </w:rPr>
        <w:t xml:space="preserve">Ethical </w:t>
      </w:r>
    </w:p>
    <w:p w:rsidR="00B93DBF" w:rsidRDefault="00B93DBF" w:rsidP="00411F32">
      <w:pPr>
        <w:rPr>
          <w:rStyle w:val="SubtleEmphasis"/>
          <w:rFonts w:ascii="Cambria" w:hAnsi="Cambria" w:cs="Times New Roman"/>
        </w:rPr>
      </w:pPr>
    </w:p>
    <w:p w:rsidR="00411F32" w:rsidRDefault="00411F32" w:rsidP="00411F32">
      <w:pPr>
        <w:pStyle w:val="Heading3"/>
        <w:rPr>
          <w:rStyle w:val="SubtleEmphasis"/>
          <w:i w:val="0"/>
          <w:iCs w:val="0"/>
          <w:color w:val="76923C" w:themeColor="accent3" w:themeShade="BF"/>
        </w:rPr>
      </w:pPr>
      <w:r>
        <w:rPr>
          <w:color w:val="76923C" w:themeColor="accent3" w:themeShade="BF"/>
        </w:rPr>
        <w:t xml:space="preserve">Content Delivery </w:t>
      </w:r>
      <w:r w:rsidR="007A0ABA">
        <w:rPr>
          <w:color w:val="76923C" w:themeColor="accent3" w:themeShade="BF"/>
        </w:rPr>
        <w:t>(Method of Instruction)</w:t>
      </w:r>
    </w:p>
    <w:p w:rsidR="00B93DBF" w:rsidRDefault="00CC6AA9" w:rsidP="00411F32">
      <w:pPr>
        <w:rPr>
          <w:rFonts w:ascii="Cambria" w:hAnsi="Cambria"/>
          <w:i/>
          <w:color w:val="7F7F7F" w:themeColor="text1" w:themeTint="80"/>
        </w:rPr>
      </w:pPr>
      <w:r>
        <w:rPr>
          <w:rFonts w:ascii="Cambria" w:hAnsi="Cambria"/>
        </w:rPr>
        <w:t>The teacher will d</w:t>
      </w:r>
      <w:r w:rsidR="00411F32">
        <w:rPr>
          <w:rFonts w:ascii="Cambria" w:hAnsi="Cambria"/>
        </w:rPr>
        <w:t>eliver a lecture presentation on the lives and philosophies of Confucius, Buddha and Lao-</w:t>
      </w:r>
      <w:proofErr w:type="spellStart"/>
      <w:r w:rsidR="00411F32">
        <w:rPr>
          <w:rFonts w:ascii="Cambria" w:hAnsi="Cambria"/>
        </w:rPr>
        <w:t>tze</w:t>
      </w:r>
      <w:proofErr w:type="spellEnd"/>
      <w:r w:rsidR="00411F32">
        <w:rPr>
          <w:rFonts w:ascii="Cambria" w:hAnsi="Cambria"/>
        </w:rPr>
        <w:t>. The lecture will discuss each philosopher’s views on how people should treat each other, live within a society, and honor the natura</w:t>
      </w:r>
      <w:r w:rsidR="003F5148">
        <w:rPr>
          <w:rFonts w:ascii="Cambria" w:hAnsi="Cambria"/>
        </w:rPr>
        <w:t xml:space="preserve">l world around them. </w:t>
      </w:r>
      <w:r w:rsidR="00103BC8">
        <w:rPr>
          <w:rFonts w:ascii="Cambria" w:hAnsi="Cambria"/>
        </w:rPr>
        <w:t>Guided notes will accompany the lecture.</w:t>
      </w:r>
      <w:r w:rsidR="00973CDA">
        <w:rPr>
          <w:rFonts w:ascii="Cambria" w:hAnsi="Cambria"/>
        </w:rPr>
        <w:t xml:space="preserve"> </w:t>
      </w:r>
    </w:p>
    <w:p w:rsidR="00411F32" w:rsidRDefault="00411F32" w:rsidP="00411F32">
      <w:pPr>
        <w:pStyle w:val="Heading3"/>
        <w:rPr>
          <w:rStyle w:val="SubtleEmphasis"/>
          <w:iCs w:val="0"/>
          <w:color w:val="76923C" w:themeColor="accent3" w:themeShade="BF"/>
        </w:rPr>
      </w:pPr>
      <w:r>
        <w:rPr>
          <w:color w:val="76923C" w:themeColor="accent3" w:themeShade="BF"/>
        </w:rPr>
        <w:lastRenderedPageBreak/>
        <w:t>Student Engagement</w:t>
      </w:r>
      <w:r w:rsidR="007A0ABA">
        <w:rPr>
          <w:color w:val="76923C" w:themeColor="accent3" w:themeShade="BF"/>
        </w:rPr>
        <w:t xml:space="preserve"> (Critical-Thinking &amp; Student Activities)</w:t>
      </w:r>
    </w:p>
    <w:p w:rsidR="00411F32" w:rsidRDefault="003F5148" w:rsidP="00411F32">
      <w:pPr>
        <w:rPr>
          <w:rFonts w:ascii="Cambria" w:hAnsi="Cambria"/>
        </w:rPr>
      </w:pPr>
      <w:r>
        <w:rPr>
          <w:rFonts w:ascii="Cambria" w:hAnsi="Cambria"/>
        </w:rPr>
        <w:t>During the l</w:t>
      </w:r>
      <w:r w:rsidR="0089193E">
        <w:rPr>
          <w:rFonts w:ascii="Cambria" w:hAnsi="Cambria"/>
        </w:rPr>
        <w:t>ecture, students will complete guided n</w:t>
      </w:r>
      <w:r>
        <w:rPr>
          <w:rFonts w:ascii="Cambria" w:hAnsi="Cambria"/>
        </w:rPr>
        <w:t>otes that help them organize and record key inf</w:t>
      </w:r>
      <w:r w:rsidR="001B27FE">
        <w:rPr>
          <w:rFonts w:ascii="Cambria" w:hAnsi="Cambria"/>
        </w:rPr>
        <w:t>ormation from the lecture. The guided n</w:t>
      </w:r>
      <w:r>
        <w:rPr>
          <w:rFonts w:ascii="Cambria" w:hAnsi="Cambria"/>
        </w:rPr>
        <w:t xml:space="preserve">otes will follow the lecture and will </w:t>
      </w:r>
      <w:r w:rsidR="00B618C4">
        <w:rPr>
          <w:rFonts w:ascii="Cambria" w:hAnsi="Cambria"/>
        </w:rPr>
        <w:t>incorporate comprehension questions (students will identify which beliefs belon</w:t>
      </w:r>
      <w:r w:rsidR="001B27FE">
        <w:rPr>
          <w:rFonts w:ascii="Cambria" w:hAnsi="Cambria"/>
        </w:rPr>
        <w:t xml:space="preserve">g to each philosopher) and </w:t>
      </w:r>
      <w:r>
        <w:rPr>
          <w:rFonts w:ascii="Cambria" w:hAnsi="Cambria"/>
        </w:rPr>
        <w:t>critical-thinking questions</w:t>
      </w:r>
      <w:r w:rsidR="00B618C4">
        <w:rPr>
          <w:rFonts w:ascii="Cambria" w:hAnsi="Cambria"/>
        </w:rPr>
        <w:t xml:space="preserve"> (</w:t>
      </w:r>
      <w:r w:rsidR="00411F32">
        <w:rPr>
          <w:rFonts w:ascii="Cambria" w:hAnsi="Cambria"/>
        </w:rPr>
        <w:t xml:space="preserve">students </w:t>
      </w:r>
      <w:r w:rsidR="00B618C4">
        <w:rPr>
          <w:rFonts w:ascii="Cambria" w:hAnsi="Cambria"/>
        </w:rPr>
        <w:t>will interpret a set of</w:t>
      </w:r>
      <w:r w:rsidR="00411F32">
        <w:rPr>
          <w:rFonts w:ascii="Cambria" w:hAnsi="Cambria"/>
        </w:rPr>
        <w:t xml:space="preserve"> quote</w:t>
      </w:r>
      <w:r w:rsidR="00B618C4">
        <w:rPr>
          <w:rFonts w:ascii="Cambria" w:hAnsi="Cambria"/>
        </w:rPr>
        <w:t>s</w:t>
      </w:r>
      <w:r w:rsidR="00411F32">
        <w:rPr>
          <w:rFonts w:ascii="Cambria" w:hAnsi="Cambria"/>
        </w:rPr>
        <w:t xml:space="preserve"> and </w:t>
      </w:r>
      <w:r w:rsidR="005B0BD7">
        <w:rPr>
          <w:rFonts w:ascii="Cambria" w:hAnsi="Cambria"/>
        </w:rPr>
        <w:t>determine who would have said each</w:t>
      </w:r>
      <w:r w:rsidR="00411F32">
        <w:rPr>
          <w:rFonts w:ascii="Cambria" w:hAnsi="Cambria"/>
        </w:rPr>
        <w:t xml:space="preserve"> – Confucius, Buddha or Lao-</w:t>
      </w:r>
      <w:proofErr w:type="spellStart"/>
      <w:r w:rsidR="00411F32">
        <w:rPr>
          <w:rFonts w:ascii="Cambria" w:hAnsi="Cambria"/>
        </w:rPr>
        <w:t>tze</w:t>
      </w:r>
      <w:proofErr w:type="spellEnd"/>
      <w:r w:rsidR="00B618C4">
        <w:rPr>
          <w:rFonts w:ascii="Cambria" w:hAnsi="Cambria"/>
        </w:rPr>
        <w:t>)</w:t>
      </w:r>
      <w:r w:rsidR="00411F32">
        <w:rPr>
          <w:rFonts w:ascii="Cambria" w:hAnsi="Cambria"/>
        </w:rPr>
        <w:t xml:space="preserve">. </w:t>
      </w:r>
    </w:p>
    <w:p w:rsidR="00B93DBF" w:rsidRDefault="00B93DBF" w:rsidP="00411F32">
      <w:pPr>
        <w:rPr>
          <w:rFonts w:ascii="Cambria" w:hAnsi="Cambria"/>
          <w:i/>
          <w:color w:val="7F7F7F" w:themeColor="text1" w:themeTint="80"/>
        </w:rPr>
      </w:pPr>
    </w:p>
    <w:p w:rsidR="00411F32" w:rsidRDefault="00411F32" w:rsidP="00411F32">
      <w:pPr>
        <w:pStyle w:val="Heading3"/>
        <w:rPr>
          <w:color w:val="76923C" w:themeColor="accent3" w:themeShade="BF"/>
        </w:rPr>
      </w:pPr>
      <w:r>
        <w:rPr>
          <w:color w:val="76923C" w:themeColor="accent3" w:themeShade="BF"/>
        </w:rPr>
        <w:t>Lesson Closure</w:t>
      </w:r>
    </w:p>
    <w:p w:rsidR="00411F32" w:rsidRDefault="0089193E" w:rsidP="00411F32">
      <w:pPr>
        <w:rPr>
          <w:rFonts w:ascii="Cambria" w:hAnsi="Cambria"/>
        </w:rPr>
      </w:pPr>
      <w:r>
        <w:rPr>
          <w:rFonts w:ascii="Cambria" w:hAnsi="Cambria"/>
        </w:rPr>
        <w:t>S</w:t>
      </w:r>
      <w:r w:rsidR="00411F32">
        <w:rPr>
          <w:rFonts w:ascii="Cambria" w:hAnsi="Cambria"/>
        </w:rPr>
        <w:t xml:space="preserve">tudents </w:t>
      </w:r>
      <w:r>
        <w:rPr>
          <w:rFonts w:ascii="Cambria" w:hAnsi="Cambria"/>
        </w:rPr>
        <w:t xml:space="preserve">will </w:t>
      </w:r>
      <w:r w:rsidR="00411F32">
        <w:rPr>
          <w:rFonts w:ascii="Cambria" w:hAnsi="Cambria"/>
        </w:rPr>
        <w:t xml:space="preserve">compose a double-entry journal of selected quotes from these philosophers. On the left-hand side of the paper the student writes in the quote. On the right-hand side of the paper the student responds to the quote commenting on what it means and how it is applicable in the world today. </w:t>
      </w:r>
    </w:p>
    <w:p w:rsidR="00B93DBF" w:rsidRDefault="00B93DBF" w:rsidP="00411F32">
      <w:pPr>
        <w:rPr>
          <w:rFonts w:ascii="Cambria" w:hAnsi="Cambria"/>
          <w:i/>
          <w:color w:val="7F7F7F" w:themeColor="text1" w:themeTint="80"/>
        </w:rPr>
      </w:pPr>
    </w:p>
    <w:p w:rsidR="00411F32" w:rsidRDefault="00411F32" w:rsidP="00411F32">
      <w:pPr>
        <w:pStyle w:val="Heading3"/>
        <w:rPr>
          <w:color w:val="76923C" w:themeColor="accent3" w:themeShade="BF"/>
        </w:rPr>
      </w:pPr>
      <w:r>
        <w:rPr>
          <w:color w:val="76923C" w:themeColor="accent3" w:themeShade="BF"/>
        </w:rPr>
        <w:t xml:space="preserve">Assessment </w:t>
      </w:r>
      <w:r w:rsidR="007A0ABA">
        <w:rPr>
          <w:color w:val="76923C" w:themeColor="accent3" w:themeShade="BF"/>
        </w:rPr>
        <w:t>(Formative &amp; Summative)</w:t>
      </w:r>
    </w:p>
    <w:p w:rsidR="00411F32" w:rsidRDefault="00411F32" w:rsidP="00411F32">
      <w:pPr>
        <w:rPr>
          <w:rFonts w:ascii="Cambria" w:hAnsi="Cambria"/>
        </w:rPr>
      </w:pPr>
      <w:r>
        <w:rPr>
          <w:rFonts w:ascii="Cambria" w:hAnsi="Cambria"/>
        </w:rPr>
        <w:t xml:space="preserve">Formative – During the lecture the teacher will stop and ask students both comprehension and critical-thinking questions. During the student engagement activity, the teacher will roam around the room and </w:t>
      </w:r>
      <w:r w:rsidR="001B27FE">
        <w:rPr>
          <w:rFonts w:ascii="Cambria" w:hAnsi="Cambria"/>
        </w:rPr>
        <w:t>examine</w:t>
      </w:r>
      <w:r>
        <w:rPr>
          <w:rFonts w:ascii="Cambria" w:hAnsi="Cambria"/>
        </w:rPr>
        <w:t xml:space="preserve"> student answers to check for understanding.</w:t>
      </w:r>
    </w:p>
    <w:p w:rsidR="00411F32" w:rsidRDefault="00411F32" w:rsidP="00411F32">
      <w:pPr>
        <w:rPr>
          <w:rFonts w:ascii="Cambria" w:hAnsi="Cambria"/>
        </w:rPr>
      </w:pPr>
    </w:p>
    <w:p w:rsidR="00411F32" w:rsidRDefault="00411F32" w:rsidP="00411F32">
      <w:pPr>
        <w:rPr>
          <w:rFonts w:ascii="Cambria" w:hAnsi="Cambria"/>
        </w:rPr>
      </w:pPr>
      <w:r>
        <w:rPr>
          <w:rFonts w:ascii="Cambria" w:hAnsi="Cambria"/>
        </w:rPr>
        <w:t>Summative – Evaluation of student responses on the Double-Entry Journal will help the teacher determine if the goals and objectives of the lesson were met.</w:t>
      </w:r>
    </w:p>
    <w:p w:rsidR="003C302E" w:rsidRPr="0057372B" w:rsidRDefault="003C302E" w:rsidP="00107722">
      <w:pPr>
        <w:rPr>
          <w:rFonts w:ascii="Cambria" w:hAnsi="Cambria"/>
        </w:rPr>
      </w:pPr>
    </w:p>
    <w:p w:rsidR="003C302E" w:rsidRPr="0057372B" w:rsidRDefault="003C302E" w:rsidP="003C302E">
      <w:pPr>
        <w:pStyle w:val="Heading2"/>
      </w:pPr>
      <w:r w:rsidRPr="0057372B">
        <w:t xml:space="preserve">Accommodations </w:t>
      </w:r>
      <w:r w:rsidR="0020047E" w:rsidRPr="0057372B">
        <w:t>for English Learners, Striving</w:t>
      </w:r>
      <w:r w:rsidRPr="0057372B">
        <w:t xml:space="preserve"> Readers and Students with Special Needs</w:t>
      </w:r>
    </w:p>
    <w:p w:rsidR="00AF4720" w:rsidRPr="0057372B" w:rsidRDefault="0089193E" w:rsidP="003C302E">
      <w:pPr>
        <w:rPr>
          <w:rFonts w:ascii="Cambria" w:hAnsi="Cambria"/>
        </w:rPr>
      </w:pPr>
      <w:r>
        <w:rPr>
          <w:rFonts w:ascii="Cambria" w:hAnsi="Cambria"/>
        </w:rPr>
        <w:t>The picture dictionary and guided notes provide a scaffold to aid students with special needs. Along with these supports, s</w:t>
      </w:r>
      <w:r w:rsidR="00AF4720">
        <w:rPr>
          <w:rFonts w:ascii="Cambria" w:hAnsi="Cambria"/>
        </w:rPr>
        <w:t>tudents</w:t>
      </w:r>
      <w:r>
        <w:rPr>
          <w:rFonts w:ascii="Cambria" w:hAnsi="Cambria"/>
        </w:rPr>
        <w:t xml:space="preserve"> with special needs will also be provided</w:t>
      </w:r>
      <w:r w:rsidR="00AF4720">
        <w:rPr>
          <w:rFonts w:ascii="Cambria" w:hAnsi="Cambria"/>
        </w:rPr>
        <w:t xml:space="preserve"> a graphic organizer that identifies the </w:t>
      </w:r>
      <w:r w:rsidR="003F5148">
        <w:rPr>
          <w:rFonts w:ascii="Cambria" w:hAnsi="Cambria"/>
        </w:rPr>
        <w:t>key belie</w:t>
      </w:r>
      <w:r>
        <w:rPr>
          <w:rFonts w:ascii="Cambria" w:hAnsi="Cambria"/>
        </w:rPr>
        <w:t xml:space="preserve">fs of each philosopher. They will use these supports as they work through the critical-thinking questions. </w:t>
      </w:r>
    </w:p>
    <w:p w:rsidR="003C302E" w:rsidRPr="0057372B" w:rsidRDefault="003C302E" w:rsidP="003C302E">
      <w:pPr>
        <w:rPr>
          <w:rFonts w:ascii="Cambria" w:hAnsi="Cambria"/>
        </w:rPr>
      </w:pPr>
    </w:p>
    <w:p w:rsidR="003C302E" w:rsidRPr="0057372B" w:rsidRDefault="003C302E" w:rsidP="003C302E">
      <w:pPr>
        <w:pStyle w:val="Heading2"/>
      </w:pPr>
      <w:r w:rsidRPr="0057372B">
        <w:t>Lesson Resources</w:t>
      </w:r>
    </w:p>
    <w:p w:rsidR="003C302E" w:rsidRDefault="00062049" w:rsidP="00107722">
      <w:pPr>
        <w:rPr>
          <w:rFonts w:ascii="Cambria" w:hAnsi="Cambria"/>
        </w:rPr>
      </w:pPr>
      <w:hyperlink r:id="rId7" w:history="1">
        <w:r w:rsidR="00FD141F" w:rsidRPr="00A1271C">
          <w:rPr>
            <w:rStyle w:val="Hyperlink"/>
            <w:rFonts w:ascii="Cambria" w:hAnsi="Cambria"/>
          </w:rPr>
          <w:t>Asia for Educators</w:t>
        </w:r>
      </w:hyperlink>
    </w:p>
    <w:p w:rsidR="00A1271C" w:rsidRDefault="00062049" w:rsidP="00107722">
      <w:pPr>
        <w:rPr>
          <w:rFonts w:ascii="Cambria" w:hAnsi="Cambria"/>
        </w:rPr>
      </w:pPr>
      <w:hyperlink r:id="rId8" w:history="1">
        <w:r w:rsidR="00A1271C" w:rsidRPr="00A1271C">
          <w:rPr>
            <w:rStyle w:val="Hyperlink"/>
            <w:rFonts w:ascii="Cambria" w:hAnsi="Cambria"/>
          </w:rPr>
          <w:t>Asia Society</w:t>
        </w:r>
      </w:hyperlink>
    </w:p>
    <w:p w:rsidR="00A1271C" w:rsidRDefault="00062049" w:rsidP="00107722">
      <w:pPr>
        <w:rPr>
          <w:rFonts w:ascii="Cambria" w:hAnsi="Cambria"/>
        </w:rPr>
      </w:pPr>
      <w:hyperlink r:id="rId9" w:history="1">
        <w:r w:rsidR="00A1271C" w:rsidRPr="00A1271C">
          <w:rPr>
            <w:rStyle w:val="Hyperlink"/>
            <w:rFonts w:ascii="Cambria" w:hAnsi="Cambria"/>
          </w:rPr>
          <w:t>Discovery Education</w:t>
        </w:r>
      </w:hyperlink>
    </w:p>
    <w:p w:rsidR="00A1271C" w:rsidRDefault="00062049" w:rsidP="00107722">
      <w:pPr>
        <w:rPr>
          <w:rFonts w:ascii="Cambria" w:hAnsi="Cambria"/>
        </w:rPr>
      </w:pPr>
      <w:hyperlink r:id="rId10" w:history="1">
        <w:r w:rsidR="00A1271C" w:rsidRPr="00A1271C">
          <w:rPr>
            <w:rStyle w:val="Hyperlink"/>
            <w:rFonts w:ascii="Cambria" w:hAnsi="Cambria"/>
          </w:rPr>
          <w:t>Stanford Encyclopedia of Philosophy - Confucius</w:t>
        </w:r>
      </w:hyperlink>
    </w:p>
    <w:p w:rsidR="00A1271C" w:rsidRDefault="00062049" w:rsidP="00107722">
      <w:pPr>
        <w:rPr>
          <w:rFonts w:ascii="Cambria" w:hAnsi="Cambria"/>
        </w:rPr>
      </w:pPr>
      <w:hyperlink r:id="rId11" w:history="1">
        <w:r w:rsidR="00A1271C" w:rsidRPr="00A1271C">
          <w:rPr>
            <w:rStyle w:val="Hyperlink"/>
            <w:rFonts w:ascii="Cambria" w:hAnsi="Cambria"/>
          </w:rPr>
          <w:t>Stanford Encyclopedia of Philosophy - Buddha</w:t>
        </w:r>
      </w:hyperlink>
    </w:p>
    <w:p w:rsidR="00A1271C" w:rsidRDefault="00062049" w:rsidP="00107722">
      <w:pPr>
        <w:rPr>
          <w:rFonts w:ascii="Cambria" w:hAnsi="Cambria"/>
        </w:rPr>
      </w:pPr>
      <w:hyperlink r:id="rId12" w:history="1">
        <w:r w:rsidR="00A1271C" w:rsidRPr="00A1271C">
          <w:rPr>
            <w:rStyle w:val="Hyperlink"/>
            <w:rFonts w:ascii="Cambria" w:hAnsi="Cambria"/>
          </w:rPr>
          <w:t>Stanford Encyclopedia of Philosophy - Laozi</w:t>
        </w:r>
      </w:hyperlink>
    </w:p>
    <w:p w:rsidR="00FD141F" w:rsidRPr="0057372B" w:rsidRDefault="00FD141F" w:rsidP="00107722">
      <w:pPr>
        <w:rPr>
          <w:rFonts w:ascii="Cambria" w:hAnsi="Cambria"/>
        </w:rPr>
      </w:pPr>
    </w:p>
    <w:p w:rsidR="004B58C2" w:rsidRPr="0057372B" w:rsidRDefault="00062049">
      <w:pPr>
        <w:rPr>
          <w:rFonts w:ascii="Cambria" w:hAnsi="Cambria"/>
        </w:rPr>
      </w:pPr>
    </w:p>
    <w:sectPr w:rsidR="004B58C2" w:rsidRPr="0057372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049" w:rsidRDefault="00062049" w:rsidP="0077224A">
      <w:r>
        <w:separator/>
      </w:r>
    </w:p>
  </w:endnote>
  <w:endnote w:type="continuationSeparator" w:id="0">
    <w:p w:rsidR="00062049" w:rsidRDefault="00062049"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049" w:rsidRDefault="00062049" w:rsidP="0077224A">
      <w:r>
        <w:separator/>
      </w:r>
    </w:p>
  </w:footnote>
  <w:footnote w:type="continuationSeparator" w:id="0">
    <w:p w:rsidR="00062049" w:rsidRDefault="00062049" w:rsidP="00772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24A" w:rsidRDefault="00A6184B" w:rsidP="0077224A">
    <w:pPr>
      <w:pStyle w:val="Header"/>
      <w:jc w:val="center"/>
    </w:pPr>
    <w:r>
      <w:rPr>
        <w:noProof/>
      </w:rPr>
      <w:drawing>
        <wp:inline distT="0" distB="0" distL="0" distR="0" wp14:anchorId="3F43ED4C" wp14:editId="2BF358EC">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A2CA0"/>
    <w:multiLevelType w:val="hybridMultilevel"/>
    <w:tmpl w:val="7456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D9"/>
    <w:rsid w:val="00040A16"/>
    <w:rsid w:val="00043490"/>
    <w:rsid w:val="00062049"/>
    <w:rsid w:val="000A3657"/>
    <w:rsid w:val="000D2372"/>
    <w:rsid w:val="00103BC8"/>
    <w:rsid w:val="00107722"/>
    <w:rsid w:val="0013091D"/>
    <w:rsid w:val="00154ACD"/>
    <w:rsid w:val="00165AFB"/>
    <w:rsid w:val="001B27FE"/>
    <w:rsid w:val="001E5242"/>
    <w:rsid w:val="001F7546"/>
    <w:rsid w:val="0020047E"/>
    <w:rsid w:val="00273DB2"/>
    <w:rsid w:val="002826C2"/>
    <w:rsid w:val="002C5CCA"/>
    <w:rsid w:val="0034068E"/>
    <w:rsid w:val="00350681"/>
    <w:rsid w:val="00385160"/>
    <w:rsid w:val="003C302E"/>
    <w:rsid w:val="003F5148"/>
    <w:rsid w:val="00411F32"/>
    <w:rsid w:val="004D1AD9"/>
    <w:rsid w:val="004F3016"/>
    <w:rsid w:val="00556932"/>
    <w:rsid w:val="00565965"/>
    <w:rsid w:val="0057372B"/>
    <w:rsid w:val="0057415B"/>
    <w:rsid w:val="0059124E"/>
    <w:rsid w:val="005B0BD7"/>
    <w:rsid w:val="0077224A"/>
    <w:rsid w:val="007833B9"/>
    <w:rsid w:val="007873D1"/>
    <w:rsid w:val="007A0ABA"/>
    <w:rsid w:val="007B653E"/>
    <w:rsid w:val="007F0E59"/>
    <w:rsid w:val="00862649"/>
    <w:rsid w:val="00880CD6"/>
    <w:rsid w:val="0089193E"/>
    <w:rsid w:val="008A21B1"/>
    <w:rsid w:val="008C3E0D"/>
    <w:rsid w:val="008E3913"/>
    <w:rsid w:val="00973CDA"/>
    <w:rsid w:val="009D682F"/>
    <w:rsid w:val="009E5148"/>
    <w:rsid w:val="009E555C"/>
    <w:rsid w:val="00A1271C"/>
    <w:rsid w:val="00A20E4D"/>
    <w:rsid w:val="00A21B29"/>
    <w:rsid w:val="00A434EF"/>
    <w:rsid w:val="00A6184B"/>
    <w:rsid w:val="00AA5173"/>
    <w:rsid w:val="00AF4720"/>
    <w:rsid w:val="00B00861"/>
    <w:rsid w:val="00B20691"/>
    <w:rsid w:val="00B618C4"/>
    <w:rsid w:val="00B8112B"/>
    <w:rsid w:val="00B830C9"/>
    <w:rsid w:val="00B93DBF"/>
    <w:rsid w:val="00BE78F0"/>
    <w:rsid w:val="00C01023"/>
    <w:rsid w:val="00C2466D"/>
    <w:rsid w:val="00CA3E9E"/>
    <w:rsid w:val="00CC6AA9"/>
    <w:rsid w:val="00CD13DE"/>
    <w:rsid w:val="00CF60F5"/>
    <w:rsid w:val="00DA0FF1"/>
    <w:rsid w:val="00DD0861"/>
    <w:rsid w:val="00E01B38"/>
    <w:rsid w:val="00E25816"/>
    <w:rsid w:val="00E855FF"/>
    <w:rsid w:val="00F17428"/>
    <w:rsid w:val="00F25FD8"/>
    <w:rsid w:val="00F85C20"/>
    <w:rsid w:val="00FD141F"/>
    <w:rsid w:val="00FE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E4263B-3C16-415B-8DA2-181F5075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ListParagraph">
    <w:name w:val="List Paragraph"/>
    <w:basedOn w:val="Normal"/>
    <w:uiPriority w:val="34"/>
    <w:qFormat/>
    <w:rsid w:val="00CC6AA9"/>
    <w:pPr>
      <w:ind w:left="720"/>
      <w:contextualSpacing/>
    </w:pPr>
  </w:style>
  <w:style w:type="character" w:styleId="Hyperlink">
    <w:name w:val="Hyperlink"/>
    <w:basedOn w:val="DefaultParagraphFont"/>
    <w:uiPriority w:val="99"/>
    <w:unhideWhenUsed/>
    <w:rsid w:val="00A127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iasociety.org/education/resources-schools/secondary-lesson-plans/ter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fe.easia.columbia.edu/main_pop/related/lessonplans.htm" TargetMode="External"/><Relationship Id="rId12" Type="http://schemas.openxmlformats.org/officeDocument/2006/relationships/hyperlink" Target="http://plato.stanford.edu/entries/laoz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o.stanford.edu/entries/buddh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lato.stanford.edu/entries/confucius/" TargetMode="External"/><Relationship Id="rId4" Type="http://schemas.openxmlformats.org/officeDocument/2006/relationships/webSettings" Target="webSettings.xml"/><Relationship Id="rId9" Type="http://schemas.openxmlformats.org/officeDocument/2006/relationships/hyperlink" Target="http://www.discoveryeducation.com/teachers/free-lesson-plan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Kristen Shand</cp:lastModifiedBy>
  <cp:revision>29</cp:revision>
  <dcterms:created xsi:type="dcterms:W3CDTF">2013-09-15T17:45:00Z</dcterms:created>
  <dcterms:modified xsi:type="dcterms:W3CDTF">2015-06-22T16:21:00Z</dcterms:modified>
</cp:coreProperties>
</file>